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4BA6C06A" w:rsidR="005B293B" w:rsidRPr="00E86643" w:rsidRDefault="00570BB1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 w:rsidRPr="00570BB1">
              <w:rPr>
                <w:rFonts w:ascii="Montserrat" w:hAnsi="Montserrat"/>
                <w:b/>
                <w:sz w:val="18"/>
                <w:szCs w:val="20"/>
              </w:rPr>
              <w:t>Trade Waste Compliance Officer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570BB1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570BB1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570BB1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570BB1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9066880" w14:textId="77777777" w:rsidR="00570BB1" w:rsidRDefault="00570BB1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2D56430C">
        <w:tc>
          <w:tcPr>
            <w:tcW w:w="9923" w:type="dxa"/>
          </w:tcPr>
          <w:p w14:paraId="5C657B33" w14:textId="1DCBA85B" w:rsidR="00C02B12" w:rsidRPr="00F62F59" w:rsidRDefault="00570BB1" w:rsidP="00F62F5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570BB1">
              <w:rPr>
                <w:rFonts w:ascii="Montserrat" w:hAnsi="Montserrat"/>
                <w:sz w:val="18"/>
                <w:szCs w:val="18"/>
              </w:rPr>
              <w:lastRenderedPageBreak/>
              <w:t>What attracts you to apply for the role of Trade Waste Compliance Officer at LMW?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0801B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F62F59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2D56430C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2D56430C">
        <w:tc>
          <w:tcPr>
            <w:tcW w:w="9923" w:type="dxa"/>
          </w:tcPr>
          <w:p w14:paraId="1559BEBC" w14:textId="72884383" w:rsidR="001B0044" w:rsidRPr="00FA21C6" w:rsidRDefault="00570BB1" w:rsidP="00FA21C6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570BB1">
              <w:rPr>
                <w:rFonts w:ascii="Montserrat" w:hAnsi="Montserrat"/>
                <w:sz w:val="18"/>
                <w:szCs w:val="18"/>
              </w:rPr>
              <w:t>How does this role align with your career aspirations?</w:t>
            </w:r>
            <w:r w:rsidR="00FA21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FA21C6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FA21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FA21C6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FA21C6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5C3BDB">
              <w:tab/>
            </w:r>
          </w:p>
        </w:tc>
      </w:tr>
      <w:tr w:rsidR="005B293B" w:rsidRPr="00E86643" w14:paraId="2AA4F976" w14:textId="77777777" w:rsidTr="2D56430C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453D" w14:textId="77777777" w:rsidR="002268C3" w:rsidRDefault="002268C3" w:rsidP="00EA7132">
      <w:pPr>
        <w:spacing w:after="0" w:line="240" w:lineRule="auto"/>
      </w:pPr>
      <w:r>
        <w:separator/>
      </w:r>
    </w:p>
  </w:endnote>
  <w:endnote w:type="continuationSeparator" w:id="0">
    <w:p w14:paraId="2CBCA407" w14:textId="77777777" w:rsidR="002268C3" w:rsidRDefault="002268C3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158B" w14:textId="77777777" w:rsidR="002268C3" w:rsidRDefault="002268C3" w:rsidP="00EA7132">
      <w:pPr>
        <w:spacing w:after="0" w:line="240" w:lineRule="auto"/>
      </w:pPr>
      <w:r>
        <w:separator/>
      </w:r>
    </w:p>
  </w:footnote>
  <w:footnote w:type="continuationSeparator" w:id="0">
    <w:p w14:paraId="06C349DC" w14:textId="77777777" w:rsidR="002268C3" w:rsidRDefault="002268C3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20"/>
  </w:num>
  <w:num w:numId="5" w16cid:durableId="1210845299">
    <w:abstractNumId w:val="16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574970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801BB"/>
    <w:rsid w:val="000B423E"/>
    <w:rsid w:val="000C1FBB"/>
    <w:rsid w:val="00133661"/>
    <w:rsid w:val="00157729"/>
    <w:rsid w:val="00164EB0"/>
    <w:rsid w:val="00167422"/>
    <w:rsid w:val="001B0044"/>
    <w:rsid w:val="001D34EA"/>
    <w:rsid w:val="001D4E33"/>
    <w:rsid w:val="001F4C15"/>
    <w:rsid w:val="00225DCF"/>
    <w:rsid w:val="002268C3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3E71F7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0BB1"/>
    <w:rsid w:val="00576996"/>
    <w:rsid w:val="00597C21"/>
    <w:rsid w:val="005A092E"/>
    <w:rsid w:val="005B293B"/>
    <w:rsid w:val="005C3BDB"/>
    <w:rsid w:val="005C421A"/>
    <w:rsid w:val="005C7A54"/>
    <w:rsid w:val="0061523D"/>
    <w:rsid w:val="00620DF5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D661D"/>
    <w:rsid w:val="008F3442"/>
    <w:rsid w:val="00910AB7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14056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1262</Characters>
  <Application>Microsoft Office Word</Application>
  <DocSecurity>0</DocSecurity>
  <Lines>10</Lines>
  <Paragraphs>2</Paragraphs>
  <ScaleCrop>false</ScaleCrop>
  <Company>Lower Murray Water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2</cp:revision>
  <cp:lastPrinted>2016-08-29T03:45:00Z</cp:lastPrinted>
  <dcterms:created xsi:type="dcterms:W3CDTF">2025-03-02T23:18:00Z</dcterms:created>
  <dcterms:modified xsi:type="dcterms:W3CDTF">2025-03-02T23:18:00Z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